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Rabies Virus (rabies encephalitis)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Signs/Symptoms:</w:t>
      </w:r>
      <w:r w:rsidDel="00000000" w:rsidR="00000000" w:rsidRPr="00000000">
        <w:rPr>
          <w:sz w:val="24"/>
          <w:highlight w:val="none"/>
          <w:rtl w:val="0"/>
        </w:rPr>
        <w:t xml:space="preserve">   Visual hallucinations, malaise, back pain, muscle pain, vomiting, hyperesthesia, being agitated,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hydrophobia, hypersalivation</w:t>
      </w:r>
      <w:r w:rsidDel="00000000" w:rsidR="00000000" w:rsidRPr="00000000">
        <w:rPr>
          <w:sz w:val="24"/>
          <w:highlight w:val="none"/>
          <w:rtl w:val="0"/>
        </w:rPr>
        <w:t xml:space="preserve">, 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wide fluctuations in body temperature and blood pressure</w:t>
      </w:r>
      <w:r w:rsidDel="00000000" w:rsidR="00000000" w:rsidRPr="00000000">
        <w:rPr>
          <w:sz w:val="24"/>
          <w:highlight w:val="none"/>
          <w:rtl w:val="0"/>
        </w:rPr>
        <w:t xml:space="preserve">.  Convulsions are later, and coma is the final stage.</w:t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Ddx:</w:t>
      </w:r>
      <w:r w:rsidDel="00000000" w:rsidR="00000000" w:rsidRPr="00000000">
        <w:rPr>
          <w:sz w:val="24"/>
          <w:highlight w:val="none"/>
          <w:rtl w:val="0"/>
        </w:rPr>
        <w:t xml:space="preserve">  Arboviral encephalitis, Guillain-Barre, Herpes 1, Lyme, Polio, Rabies.  Altered consciousness is the sine qua non of encephalitis in the setting of other signs of infection, such as fever, headache and neuro signs.  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The findings of </w:t>
      </w:r>
      <w:r w:rsidDel="00000000" w:rsidR="00000000" w:rsidRPr="00000000">
        <w:rPr>
          <w:b w:val="1"/>
          <w:sz w:val="24"/>
          <w:highlight w:val="none"/>
          <w:u w:val="single"/>
          <w:rtl w:val="0"/>
        </w:rPr>
        <w:t xml:space="preserve">agitation and hydrophobia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 are specific for rabies.  Without hydrophobia and agitation, hard to distinguish between the others.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Identification: </w:t>
      </w:r>
      <w:r w:rsidDel="00000000" w:rsidR="00000000" w:rsidRPr="00000000">
        <w:rPr>
          <w:sz w:val="24"/>
          <w:highlight w:val="none"/>
          <w:rtl w:val="0"/>
        </w:rPr>
        <w:t xml:space="preserve">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DFA staining of nuchal skin biopsy</w:t>
      </w:r>
      <w:r w:rsidDel="00000000" w:rsidR="00000000" w:rsidRPr="00000000">
        <w:rPr>
          <w:sz w:val="24"/>
          <w:highlight w:val="none"/>
          <w:rtl w:val="0"/>
        </w:rPr>
        <w:t xml:space="preserve">, RT-PCR of CSF/saliva/nuchal skin, viral serology; identification of 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Negri bodies</w:t>
      </w:r>
      <w:r w:rsidDel="00000000" w:rsidR="00000000" w:rsidRPr="00000000">
        <w:rPr>
          <w:sz w:val="24"/>
          <w:highlight w:val="none"/>
          <w:rtl w:val="0"/>
        </w:rPr>
        <w:t xml:space="preserve"> (intracytoplasmic mass of fibrillar matrix and rabies virus particles) in neurons.  Bullet shaped nucleocapsid (Rhabdovirus:  negative ssRNA), with knob-like glycoproteins on the envelope.</w:t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Source/Epidemiology:</w:t>
      </w:r>
      <w:r w:rsidDel="00000000" w:rsidR="00000000" w:rsidRPr="00000000">
        <w:rPr>
          <w:sz w:val="24"/>
          <w:highlight w:val="none"/>
          <w:rtl w:val="0"/>
        </w:rPr>
        <w:t xml:space="preserve">  Animal bite.  There are two forms, urban and sylvatic, transmitted by dogs (or other communal animals) and bats, respectively.  Person-to-person spread is possible via saliva or aerosolized froth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.  Can also be transmitted in organs</w:t>
      </w:r>
      <w:r w:rsidDel="00000000" w:rsidR="00000000" w:rsidRPr="00000000">
        <w:rPr>
          <w:sz w:val="24"/>
          <w:highlight w:val="none"/>
          <w:rtl w:val="0"/>
        </w:rPr>
        <w:t xml:space="preserve">. 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Not spread hematologically, but through nervous tissue.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Pathology:</w:t>
      </w:r>
      <w:r w:rsidDel="00000000" w:rsidR="00000000" w:rsidRPr="00000000">
        <w:rPr>
          <w:sz w:val="24"/>
          <w:highlight w:val="none"/>
          <w:rtl w:val="0"/>
        </w:rPr>
        <w:t xml:space="preserve"> 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Incubation period of 3 to 8 weeks</w:t>
      </w:r>
      <w:r w:rsidDel="00000000" w:rsidR="00000000" w:rsidRPr="00000000">
        <w:rPr>
          <w:sz w:val="24"/>
          <w:highlight w:val="none"/>
          <w:rtl w:val="0"/>
        </w:rPr>
        <w:t xml:space="preserve"> on average, with as short as 9 days and as much as 7 years.  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Depends on infection site distance from the brain</w:t>
      </w:r>
      <w:r w:rsidDel="00000000" w:rsidR="00000000" w:rsidRPr="00000000">
        <w:rPr>
          <w:sz w:val="24"/>
          <w:highlight w:val="none"/>
          <w:rtl w:val="0"/>
        </w:rPr>
        <w:t xml:space="preserve">.  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Virus buds from cells but </w:t>
      </w:r>
      <w:r w:rsidDel="00000000" w:rsidR="00000000" w:rsidRPr="00000000">
        <w:rPr>
          <w:b w:val="1"/>
          <w:sz w:val="24"/>
          <w:highlight w:val="none"/>
          <w:u w:val="single"/>
          <w:rtl w:val="0"/>
        </w:rPr>
        <w:t xml:space="preserve">does not lyse them</w:t>
      </w:r>
      <w:r w:rsidDel="00000000" w:rsidR="00000000" w:rsidRPr="00000000">
        <w:rPr>
          <w:sz w:val="24"/>
          <w:highlight w:val="none"/>
          <w:rtl w:val="0"/>
        </w:rPr>
        <w:t xml:space="preserve">.  Progeny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infect sensory neurons in the PNS</w:t>
      </w:r>
      <w:r w:rsidDel="00000000" w:rsidR="00000000" w:rsidRPr="00000000">
        <w:rPr>
          <w:sz w:val="24"/>
          <w:highlight w:val="none"/>
          <w:rtl w:val="0"/>
        </w:rPr>
        <w:t xml:space="preserve">.  Viral glycoproteins bind to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acetycholine receptors</w:t>
      </w:r>
      <w:r w:rsidDel="00000000" w:rsidR="00000000" w:rsidRPr="00000000">
        <w:rPr>
          <w:sz w:val="24"/>
          <w:highlight w:val="none"/>
          <w:rtl w:val="0"/>
        </w:rPr>
        <w:t xml:space="preserve">, contributing to neurovirulence of the rabies virus.  Moves back towards the CNS, and 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once in the brain, replicates exclusively within the gray matter</w:t>
      </w:r>
      <w:r w:rsidDel="00000000" w:rsidR="00000000" w:rsidRPr="00000000">
        <w:rPr>
          <w:sz w:val="24"/>
          <w:highlight w:val="none"/>
          <w:rtl w:val="0"/>
        </w:rPr>
        <w:t xml:space="preserve">. 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Travels back down the peripheral nerves and to the </w:t>
      </w:r>
      <w:r w:rsidDel="00000000" w:rsidR="00000000" w:rsidRPr="00000000">
        <w:rPr>
          <w:b w:val="1"/>
          <w:sz w:val="24"/>
          <w:highlight w:val="none"/>
          <w:u w:val="single"/>
          <w:rtl w:val="0"/>
        </w:rPr>
        <w:t xml:space="preserve">salivary glands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 and other tissues (lungs, kidney, and skin)</w:t>
      </w:r>
      <w:r w:rsidDel="00000000" w:rsidR="00000000" w:rsidRPr="00000000">
        <w:rPr>
          <w:sz w:val="24"/>
          <w:highlight w:val="none"/>
          <w:rtl w:val="0"/>
        </w:rPr>
        <w:t xml:space="preserve">. </w:t>
      </w:r>
      <w:r w:rsidDel="00000000" w:rsidR="00000000" w:rsidRPr="00000000">
        <w:rPr>
          <w:b w:val="1"/>
          <w:i w:val="1"/>
          <w:sz w:val="24"/>
          <w:highlight w:val="none"/>
          <w:rtl w:val="0"/>
        </w:rPr>
        <w:t xml:space="preserve">Secondary viral replication in mucinogenic acinar cells of salivary glands facilitates secondary transmission via saliva</w:t>
      </w:r>
      <w:r w:rsidDel="00000000" w:rsidR="00000000" w:rsidRPr="00000000">
        <w:rPr>
          <w:sz w:val="24"/>
          <w:highlight w:val="none"/>
          <w:rtl w:val="0"/>
        </w:rPr>
        <w:t xml:space="preserve">. Look for negri bodies.  Virus-specific cytotoxic T cells, induced by the viral glycoprotein, kill the virus-infected neurons, causing brain damage and encephalitis.  </w:t>
      </w:r>
      <w:r w:rsidDel="00000000" w:rsidR="00000000" w:rsidRPr="00000000">
        <w:rPr>
          <w:b w:val="1"/>
          <w:sz w:val="24"/>
          <w:highlight w:val="none"/>
          <w:rtl w:val="0"/>
        </w:rPr>
        <w:t xml:space="preserve">100% fatal, death is due to respiratory failure, need post-exposure vaccination for survival</w:t>
      </w:r>
      <w:r w:rsidDel="00000000" w:rsidR="00000000" w:rsidRPr="00000000">
        <w:rPr>
          <w:sz w:val="24"/>
          <w:highlight w:val="none"/>
          <w:rtl w:val="0"/>
        </w:rPr>
        <w:t xml:space="preserve">.  Hydrophobia= due to painful spasms of the swallowing muscles leads to avoidance of water.</w:t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Resistance/Susceptibility:</w:t>
      </w:r>
      <w:r w:rsidDel="00000000" w:rsidR="00000000" w:rsidRPr="00000000">
        <w:rPr>
          <w:sz w:val="24"/>
          <w:highlight w:val="none"/>
          <w:rtl w:val="0"/>
        </w:rPr>
        <w:t xml:space="preserve">  Everyone around animals in places where rabies is.</w:t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sz w:val="24"/>
          <w:highlight w:val="none"/>
          <w:rtl w:val="0"/>
        </w:rPr>
        <w:t xml:space="preserve">Prevention/Treatment:</w:t>
      </w:r>
      <w:r w:rsidDel="00000000" w:rsidR="00000000" w:rsidRPr="00000000">
        <w:rPr>
          <w:sz w:val="24"/>
          <w:highlight w:val="none"/>
          <w:rtl w:val="0"/>
        </w:rPr>
        <w:t xml:space="preserve">  No treatment.  HDCV Vaccine (inactivated) is available for those at high risk only.  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A 3 step post-exposure prophylaxis is available (clean wound with soap and water, passive immunization with Ig (rabies antiserum or human Ig), active immunization with </w:t>
      </w:r>
      <w:r w:rsidDel="00000000" w:rsidR="00000000" w:rsidRPr="00000000">
        <w:rPr>
          <w:b w:val="1"/>
          <w:sz w:val="24"/>
          <w:highlight w:val="none"/>
          <w:u w:val="single"/>
          <w:rtl w:val="0"/>
        </w:rPr>
        <w:t xml:space="preserve">HDCV vaccine</w:t>
      </w:r>
      <w:r w:rsidDel="00000000" w:rsidR="00000000" w:rsidRPr="00000000">
        <w:rPr>
          <w:sz w:val="24"/>
          <w:highlight w:val="none"/>
          <w:u w:val="single"/>
          <w:rtl w:val="0"/>
        </w:rPr>
        <w:t xml:space="preserve">).</w:t>
      </w:r>
      <w:r w:rsidDel="00000000" w:rsidR="00000000" w:rsidRPr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200" w:lineRule="auto" w:before="0"/>
      <w:ind w:firstLine="0" w:left="0" w:right="0"/>
      <w:jc w:val="left"/>
    </w:pPr>
    <w:rPr>
      <w:rFonts w:eastAsia="Calibri" w:ascii="Calibri" w:hAnsi="Calibri" w:cs="Calibri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120" w:lineRule="auto" w:before="480"/>
    </w:pPr>
    <w:rPr>
      <w:b w:val="1"/>
      <w:sz w:val="48"/>
      <w:highlight w:val="none"/>
    </w:rPr>
  </w:style>
  <w:style w:type="paragraph" w:styleId="Heading2">
    <w:name w:val="heading 2"/>
    <w:basedOn w:val="Normal"/>
    <w:next w:val="Normal"/>
    <w:pPr>
      <w:spacing w:after="80" w:lineRule="auto" w:before="360"/>
    </w:pPr>
    <w:rPr>
      <w:b w:val="1"/>
      <w:sz w:val="36"/>
      <w:highlight w:val="none"/>
    </w:rPr>
  </w:style>
  <w:style w:type="paragraph" w:styleId="Heading3">
    <w:name w:val="heading 3"/>
    <w:basedOn w:val="Normal"/>
    <w:next w:val="Normal"/>
    <w:pPr>
      <w:spacing w:after="80" w:lineRule="auto" w:before="280"/>
    </w:pPr>
    <w:rPr>
      <w:b w:val="1"/>
      <w:sz w:val="28"/>
      <w:highlight w:val="none"/>
    </w:rPr>
  </w:style>
  <w:style w:type="paragraph" w:styleId="Heading4">
    <w:name w:val="heading 4"/>
    <w:basedOn w:val="Normal"/>
    <w:next w:val="Normal"/>
    <w:pPr>
      <w:spacing w:after="40" w:lineRule="auto" w:before="240"/>
    </w:pPr>
    <w:rPr>
      <w:b w:val="1"/>
      <w:sz w:val="24"/>
      <w:highlight w:val="none"/>
    </w:rPr>
  </w:style>
  <w:style w:type="paragraph" w:styleId="Heading5">
    <w:name w:val="heading 5"/>
    <w:basedOn w:val="Normal"/>
    <w:next w:val="Normal"/>
    <w:pPr>
      <w:spacing w:after="40" w:lineRule="auto" w:before="220"/>
    </w:pPr>
    <w:rPr>
      <w:b w:val="1"/>
      <w:sz w:val="22"/>
      <w:highlight w:val="none"/>
    </w:rPr>
  </w:style>
  <w:style w:type="paragraph" w:styleId="Heading6">
    <w:name w:val="heading 6"/>
    <w:basedOn w:val="Normal"/>
    <w:next w:val="Normal"/>
    <w:pPr>
      <w:spacing w:after="40" w:lineRule="auto" w:before="200"/>
    </w:pPr>
    <w:rPr>
      <w:b w:val="1"/>
      <w:sz w:val="20"/>
      <w:highlight w:val="none"/>
    </w:rPr>
  </w:style>
  <w:style w:type="paragraph" w:styleId="Title">
    <w:name w:val="Title"/>
    <w:basedOn w:val="Normal"/>
    <w:next w:val="Normal"/>
    <w:pPr>
      <w:spacing w:after="120" w:lineRule="auto" w:before="480"/>
    </w:pPr>
    <w:rPr>
      <w:b w:val="1"/>
      <w:sz w:val="72"/>
      <w:highlight w:val="none"/>
    </w:rPr>
  </w:style>
  <w:style w:type="paragraph" w:styleId="Subtitle">
    <w:name w:val="Subtitle"/>
    <w:basedOn w:val="Normal"/>
    <w:next w:val="Normal"/>
    <w:pPr>
      <w:spacing w:after="80" w:lineRule="auto" w:before="360"/>
    </w:pPr>
    <w:rPr>
      <w:rFonts w:eastAsia="Georgia" w:ascii="Georgia" w:hAnsi="Georgia" w:cs="Georgia"/>
      <w:i w:val="1"/>
      <w:color w:val="666666"/>
      <w:sz w:val="48"/>
      <w:highlight w:val="no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65 rabies.docx.docx</dc:title>
</cp:coreProperties>
</file>